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97" w:rsidRPr="00D9370B" w:rsidRDefault="00F54A97" w:rsidP="00F54A97">
      <w:pPr>
        <w:pStyle w:val="Spistreci1"/>
        <w:rPr>
          <w:color w:val="000000" w:themeColor="text1"/>
        </w:rPr>
      </w:pPr>
      <w:bookmarkStart w:id="0" w:name="_Toc49949361"/>
      <w:r w:rsidRPr="00D9370B">
        <w:rPr>
          <w:color w:val="000000" w:themeColor="text1"/>
        </w:rPr>
        <w:t>Klauzula informacyjna -  ogólna</w:t>
      </w:r>
      <w:bookmarkEnd w:id="0"/>
    </w:p>
    <w:p w:rsidR="00F54A97" w:rsidRPr="00D9370B" w:rsidRDefault="00F54A97" w:rsidP="00F54A9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54A97" w:rsidRPr="00D9370B" w:rsidRDefault="00F54A97" w:rsidP="00F54A97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D9370B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Zgodnie z art. 13 i 14 Rozporządzenia Parlamentu Europejskiego i Rady (UE) 2016/679 z dnia 27 kwietnia 2016 r. w sprawie ochrony osób fizycznych w związku przetwarzaniem danych osobowych i w sprawie swobodnego przepływu takich danych oraz uchylenia dyrektywy 95/46/W – ogólne rozporządzenie o ochronie danych, informujemy, iż:</w:t>
      </w:r>
    </w:p>
    <w:p w:rsidR="00F54A97" w:rsidRPr="00D9370B" w:rsidRDefault="00F54A97" w:rsidP="00F54A9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54A97" w:rsidRPr="00D9370B" w:rsidRDefault="00F54A97" w:rsidP="00F54A97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Pana/Pani jest Powiatowy Urząd Pracy w Golubiu-Dobrzyniu, ul. Szosa Rypińska 26, Tel. Kontaktowy 56 683 52 30-33, e- mail sekretariat@golub-dobrzyn.praca.gov.pl </w:t>
      </w:r>
    </w:p>
    <w:p w:rsidR="00F54A97" w:rsidRPr="00D9370B" w:rsidRDefault="00F54A97" w:rsidP="00F54A97">
      <w:pPr>
        <w:pStyle w:val="Akapitzlist"/>
        <w:numPr>
          <w:ilvl w:val="0"/>
          <w:numId w:val="1"/>
        </w:numPr>
        <w:ind w:left="567" w:hanging="567"/>
        <w:jc w:val="both"/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kontaktowe Inspektora </w:t>
      </w:r>
      <w:r w:rsidR="0035012A">
        <w:rPr>
          <w:rFonts w:ascii="Arial" w:hAnsi="Arial" w:cs="Arial"/>
          <w:color w:val="000000" w:themeColor="text1"/>
          <w:sz w:val="20"/>
          <w:szCs w:val="20"/>
        </w:rPr>
        <w:t>Ochrony Danych – Beata Grabowska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iod@golub-dobrzyn.praca.gov.pl</w:t>
      </w:r>
    </w:p>
    <w:p w:rsidR="00F54A97" w:rsidRPr="00D9370B" w:rsidRDefault="00F54A97" w:rsidP="00F54A97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Państwa dane osobowe są przetwarzane przez Powiatowy Urząd Pracy  na podstawie  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art. 6 ust 1 lit. c RODO, </w:t>
      </w:r>
      <w:r w:rsidRPr="00D9370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wyłącznie w celu realizacji zadań ustawowych</w:t>
      </w:r>
      <w:r w:rsidRPr="00D9370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 tym: weryfikacji uprawnień i danych, rejestracji i ustalania statusu, zapewnienia pomocy określonej w ustawie, wydawania decyzji w zakresie statusu i świadczeń oraz zaświadczeń, zawierania i realizacji umów w ramach instrumentów rynku pracy, prowadzenia postępowań administracyjnych, kontrolnych i egzekucyjnych realizacji obowiązków sprawozdawczych i obowiązków w zakresie statystyki publicznej oraz określania planów dalszych działań w zakresie wynikającym z przepisów prawa, a w szczególności: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20 kwietnia 2004 r. o promocji zatrudnienia i instytucjach rynku pracy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Ustawą z dnia 15 czerwca 2012 r. o skutkach powierzania wykonywania pracy cudzoziemcom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Ustawą z dnia 14 czerwca 1960 r. Kodeks Postępowania Administracyjnego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Ustawą z dnia 23 kwietnia 1964 r. Kodeks cywilny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27 sierpnia 1997 r. o rehabilitacji zawodowej i społecznej oraz zatrudnianiu osób niepełnosprawnych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5 czerwca 1998 r. o samorządzie powiatowym 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13 października 1998 r. o systemie ubezpieczeń społecznych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Ustawą z dnia 20 grudnia 1990 r. o ubezpieczeniu społecznym rolników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26 czerwca 1974 r. - Kodeks Pracy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30 kwietnia 2004 r. o postępowaniu w sprawach dotyczących pomocy publicznej 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Ustawa z dnia 12 marca 2004 r. o pomocy społecznej 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30 kwietnia 2004 r. o świadczeniach przedemerytalnych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27 sierpnia 2004 r. o świadczeniach opieki zdrowotnej finansowanych ze środków publicznych 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Ustawa z dnia 17 lutego 2005 r. o informatyzacji działalności podmiotów realizujących zadania publiczne 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27 sierpnia 2009 r. o finansach publicznych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21 listopada 2008 r. o pracownikach samorządowych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29 stycznia 2004 r. prawo zamówień publicznych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11 października 2013 r. o szczególnych rozwiązaniach związanych z ochroną miejsc pracy 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27 kwietnia 2006 r. o spółdzielniach socjalnych </w:t>
      </w:r>
    </w:p>
    <w:p w:rsidR="00F54A97" w:rsidRPr="00D9370B" w:rsidRDefault="00F54A97" w:rsidP="00F54A97">
      <w:pPr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Ustawą z dnia 6 marca 2018 r. Prawo przedsiębiorców  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  <w:u w:val="single"/>
        </w:rPr>
        <w:t>Odbiorcą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 Państwa danych osobowych będzie minister właściwy ds. pracy prowadzący rejestr centralny, ponadto dane osobowe możemy udostępniać wyłącznie podmiotom uprawnionym na podstawie obowiązujących przepisów prawa są nimi np.: sądy, organy ścigania, podatkowe oraz inne podmioty publiczne, gdy wystąpią z takim żądaniem oczywiście w oparciu o stosowną podstawę prawną. Dane osobowe możemy także przekazywać podmiotom, które przetwarzają je na zlecenie administratora tzw. podmiotom przetwarzającym, są nimi np.: podmioty świadczące 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usługi informatyczne, telekomunikacyjne, pocztowe i inne, jednakże przekazanie danych nastąpić może tylko wtedy, gdy zapewnią one odpowiednią ochronę praw. 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Dane osobowe będą przetwarzane przez okres zgodny z obowiązującymi przepisami prawa, następnie zostaną usunięte.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Zgodnie z RODO przysługują Państwu następujące prawa: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b/>
          <w:color w:val="000000" w:themeColor="text1"/>
          <w:sz w:val="20"/>
          <w:szCs w:val="20"/>
        </w:rPr>
        <w:t>Prawo dostępu przysługujące osobie, której dane dotyczą (</w:t>
      </w:r>
      <w:r w:rsidRPr="00D9370B">
        <w:rPr>
          <w:i/>
          <w:iCs/>
          <w:color w:val="000000" w:themeColor="text1"/>
          <w:sz w:val="20"/>
          <w:szCs w:val="20"/>
        </w:rPr>
        <w:t xml:space="preserve">Artykuł 15) </w:t>
      </w:r>
      <w:r w:rsidRPr="00D9370B">
        <w:rPr>
          <w:color w:val="000000" w:themeColor="text1"/>
          <w:sz w:val="20"/>
          <w:szCs w:val="20"/>
        </w:rPr>
        <w:t>- do uzyskania od administratora potwierdzenia, czy przetwarzane są dane osobowe jej dotyczące, a jeżeli ma to miejsce, jest uprawniona do uzyskania dostępu do nich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b/>
          <w:color w:val="000000" w:themeColor="text1"/>
          <w:sz w:val="20"/>
          <w:szCs w:val="20"/>
        </w:rPr>
        <w:t>Prawo do sprostowania danych (</w:t>
      </w:r>
      <w:r w:rsidRPr="00D9370B">
        <w:rPr>
          <w:i/>
          <w:iCs/>
          <w:color w:val="000000" w:themeColor="text1"/>
          <w:sz w:val="20"/>
          <w:szCs w:val="20"/>
        </w:rPr>
        <w:t>Artykuł 16)</w:t>
      </w:r>
      <w:r w:rsidRPr="00D9370B">
        <w:rPr>
          <w:color w:val="000000" w:themeColor="text1"/>
          <w:sz w:val="20"/>
          <w:szCs w:val="20"/>
        </w:rPr>
        <w:t xml:space="preserve"> - 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b/>
          <w:color w:val="000000" w:themeColor="text1"/>
          <w:sz w:val="20"/>
          <w:szCs w:val="20"/>
        </w:rPr>
        <w:t>Prawo do usunięcia danych („prawo do bycia zapomnianym”)</w:t>
      </w:r>
      <w:r w:rsidRPr="00D9370B">
        <w:rPr>
          <w:color w:val="000000" w:themeColor="text1"/>
          <w:sz w:val="20"/>
          <w:szCs w:val="20"/>
        </w:rPr>
        <w:t xml:space="preserve"> (</w:t>
      </w:r>
      <w:r w:rsidRPr="00D9370B">
        <w:rPr>
          <w:i/>
          <w:iCs/>
          <w:color w:val="000000" w:themeColor="text1"/>
          <w:sz w:val="20"/>
          <w:szCs w:val="20"/>
        </w:rPr>
        <w:t xml:space="preserve">Artykuł 17) </w:t>
      </w:r>
      <w:r w:rsidRPr="00D9370B">
        <w:rPr>
          <w:color w:val="000000" w:themeColor="text1"/>
          <w:sz w:val="20"/>
          <w:szCs w:val="20"/>
        </w:rPr>
        <w:t>– przy spełnieniu określonych okoliczności przewidzianych w RODO osoba, której dane dotyczą, ma prawo żądania od administratora niezwłocznego usunięcia dotyczących jej danych osobowych, a administrator ma obowiązek bez zbędnej zwłoki usunąć dane osobowe,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>Wyjątek: Prawo to nie będzie miało zastosowania, w zakresie w jakim przetwarzanie jest niezbędne do wywiązania się z prawnego obowiązku wymagającego przetwarzania na mocy prawa (art. 17 ust. 3 pkt. B)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b/>
          <w:color w:val="000000" w:themeColor="text1"/>
          <w:sz w:val="20"/>
          <w:szCs w:val="20"/>
        </w:rPr>
        <w:t>Prawo do ograniczenia przetwarzania</w:t>
      </w:r>
      <w:r w:rsidRPr="00D9370B">
        <w:rPr>
          <w:color w:val="000000" w:themeColor="text1"/>
          <w:sz w:val="20"/>
          <w:szCs w:val="20"/>
        </w:rPr>
        <w:t xml:space="preserve"> (</w:t>
      </w:r>
      <w:r w:rsidRPr="00D9370B">
        <w:rPr>
          <w:i/>
          <w:iCs/>
          <w:color w:val="000000" w:themeColor="text1"/>
          <w:sz w:val="20"/>
          <w:szCs w:val="20"/>
        </w:rPr>
        <w:t xml:space="preserve">Artykuł 18) </w:t>
      </w:r>
      <w:r w:rsidRPr="00D9370B">
        <w:rPr>
          <w:color w:val="000000" w:themeColor="text1"/>
          <w:sz w:val="20"/>
          <w:szCs w:val="20"/>
        </w:rPr>
        <w:t>– w ściśle określonych przepisami przypadkach osoba, której dane dotyczą, ma prawo żądania od administratora ograniczenia przetwarzania jej danych osobowych.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b/>
          <w:color w:val="000000" w:themeColor="text1"/>
          <w:sz w:val="20"/>
          <w:szCs w:val="20"/>
        </w:rPr>
        <w:t>Prawo do przenoszenia danych</w:t>
      </w:r>
      <w:r w:rsidRPr="00D9370B">
        <w:rPr>
          <w:color w:val="000000" w:themeColor="text1"/>
          <w:sz w:val="20"/>
          <w:szCs w:val="20"/>
        </w:rPr>
        <w:t xml:space="preserve"> (</w:t>
      </w:r>
      <w:r w:rsidRPr="00D9370B">
        <w:rPr>
          <w:i/>
          <w:iCs/>
          <w:color w:val="000000" w:themeColor="text1"/>
          <w:sz w:val="20"/>
          <w:szCs w:val="20"/>
        </w:rPr>
        <w:t xml:space="preserve">Artykuł 19) </w:t>
      </w:r>
      <w:r w:rsidRPr="00D9370B">
        <w:rPr>
          <w:color w:val="000000" w:themeColor="text1"/>
          <w:sz w:val="20"/>
          <w:szCs w:val="20"/>
        </w:rPr>
        <w:t>– w ściśle określonych przepisami przypadkach osoba, której dane dotyczą, ma prawo otrzymać w ustrukturyzowanym, powszechnie używanym formacie nadającym się do odczytu maszynowego dane osobowe jej dotyczące, które dostarczyła lub żądać ich bezpośredniego przesłania do innego administratora danych</w:t>
      </w:r>
    </w:p>
    <w:p w:rsidR="00F54A97" w:rsidRPr="00D9370B" w:rsidRDefault="00F54A97" w:rsidP="00F54A97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color w:val="000000" w:themeColor="text1"/>
          <w:sz w:val="20"/>
          <w:szCs w:val="20"/>
        </w:rPr>
      </w:pPr>
      <w:r w:rsidRPr="00D9370B">
        <w:rPr>
          <w:b/>
          <w:color w:val="000000" w:themeColor="text1"/>
          <w:sz w:val="20"/>
          <w:szCs w:val="20"/>
        </w:rPr>
        <w:t xml:space="preserve">Prawo do sprzeciwu </w:t>
      </w:r>
      <w:r w:rsidRPr="00D9370B">
        <w:rPr>
          <w:i/>
          <w:color w:val="000000" w:themeColor="text1"/>
          <w:sz w:val="20"/>
          <w:szCs w:val="20"/>
        </w:rPr>
        <w:t>(</w:t>
      </w:r>
      <w:r w:rsidRPr="00D9370B">
        <w:rPr>
          <w:i/>
          <w:iCs/>
          <w:color w:val="000000" w:themeColor="text1"/>
          <w:sz w:val="20"/>
          <w:szCs w:val="20"/>
        </w:rPr>
        <w:t xml:space="preserve">Artykuł 21) </w:t>
      </w:r>
      <w:r w:rsidRPr="00D9370B">
        <w:rPr>
          <w:b/>
          <w:color w:val="000000" w:themeColor="text1"/>
          <w:sz w:val="20"/>
          <w:szCs w:val="20"/>
        </w:rPr>
        <w:t>–</w:t>
      </w:r>
      <w:r w:rsidRPr="00D9370B">
        <w:rPr>
          <w:color w:val="000000" w:themeColor="text1"/>
          <w:sz w:val="20"/>
          <w:szCs w:val="20"/>
        </w:rPr>
        <w:t xml:space="preserve"> w szczególnych przypadkach przewidzianych przepisami RODO osoba, której dane dotyczą, ma prawo w dowolnym momencie wnieść sprzeciw – z przyczyn związanych z jej szczególną sytuacją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Prawo do cofnięcia zgody na przetwarzani</w:t>
      </w:r>
      <w:r w:rsidR="00BC0A6D">
        <w:rPr>
          <w:rFonts w:ascii="Arial" w:hAnsi="Arial" w:cs="Arial"/>
          <w:color w:val="000000" w:themeColor="text1"/>
          <w:sz w:val="20"/>
          <w:szCs w:val="20"/>
        </w:rPr>
        <w:t>e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przy czym cofnięcie zgody pozostaje bez wpływu na zgodność z prawem przetwarzania, którego dokonano na podstawie zgody przed jej cofnięciem.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Podania danych wymaga ustawa na podstawie, której działa administrator. 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Pana/Pani narusza przepisy ogólnego rozporządzenia o ochronie danych osobowych z dnia 27 kwietnia 2016 r. „RODO”.</w:t>
      </w:r>
    </w:p>
    <w:p w:rsidR="00F54A97" w:rsidRPr="00D9370B" w:rsidRDefault="00F54A97" w:rsidP="00F54A97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Państwa dane osobowe nie będą przetwarzane w sposób zautomatyzowany, w tym również w formie profilowania.</w:t>
      </w:r>
    </w:p>
    <w:p w:rsidR="00E36CA5" w:rsidRDefault="00E36CA5" w:rsidP="00E3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36CA5" w:rsidRDefault="00E36CA5" w:rsidP="00E3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36CA5" w:rsidRDefault="00E36CA5" w:rsidP="00E3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E36CA5" w:rsidRPr="00E36CA5" w:rsidRDefault="00E36CA5" w:rsidP="00E3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36CA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…………………………………………………….………………………</w:t>
      </w:r>
    </w:p>
    <w:p w:rsidR="00E36CA5" w:rsidRPr="00E36CA5" w:rsidRDefault="00E36CA5" w:rsidP="00E3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E36CA5">
        <w:rPr>
          <w:rFonts w:ascii="Arial" w:hAnsi="Arial" w:cs="Arial"/>
          <w:color w:val="000000" w:themeColor="text1"/>
          <w:sz w:val="16"/>
          <w:szCs w:val="16"/>
        </w:rPr>
        <w:t>(data,  czytelny podpis osoby otrzymującej klauzulę informacyjną)</w:t>
      </w:r>
    </w:p>
    <w:p w:rsidR="00F61A8F" w:rsidRPr="00F54A97" w:rsidRDefault="00F61A8F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sectPr w:rsidR="00F61A8F" w:rsidRPr="00F54A97" w:rsidSect="00F6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3C4"/>
    <w:multiLevelType w:val="hybridMultilevel"/>
    <w:tmpl w:val="3DD6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37A81"/>
    <w:multiLevelType w:val="hybridMultilevel"/>
    <w:tmpl w:val="D6F4F4D0"/>
    <w:lvl w:ilvl="0" w:tplc="54EAFC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C5C04"/>
    <w:multiLevelType w:val="hybridMultilevel"/>
    <w:tmpl w:val="E35C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A97"/>
    <w:rsid w:val="003412DA"/>
    <w:rsid w:val="0035012A"/>
    <w:rsid w:val="008742A7"/>
    <w:rsid w:val="00BC0A6D"/>
    <w:rsid w:val="00E36CA5"/>
    <w:rsid w:val="00F54A97"/>
    <w:rsid w:val="00F6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A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4A97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F54A97"/>
    <w:pPr>
      <w:tabs>
        <w:tab w:val="right" w:leader="dot" w:pos="9060"/>
      </w:tabs>
      <w:spacing w:after="100"/>
      <w:jc w:val="center"/>
      <w:outlineLvl w:val="0"/>
    </w:pPr>
    <w:rPr>
      <w:rFonts w:ascii="Arial" w:eastAsia="Times New Roman" w:hAnsi="Arial" w:cs="Arial"/>
      <w:b/>
      <w:i/>
      <w:iCs/>
      <w:noProof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F54A97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A97"/>
    <w:rPr>
      <w:rFonts w:ascii="Arial" w:eastAsia="MS Mincho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stachowskam</dc:creator>
  <cp:keywords/>
  <dc:description/>
  <cp:lastModifiedBy>Kuba</cp:lastModifiedBy>
  <cp:revision>5</cp:revision>
  <dcterms:created xsi:type="dcterms:W3CDTF">2020-10-01T10:04:00Z</dcterms:created>
  <dcterms:modified xsi:type="dcterms:W3CDTF">2021-04-15T08:54:00Z</dcterms:modified>
</cp:coreProperties>
</file>